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b w:val="1"/>
          <w:color w:val="2f2f2f"/>
          <w:sz w:val="24"/>
          <w:szCs w:val="24"/>
          <w:u w:val="single"/>
        </w:rPr>
      </w:pPr>
      <w:r w:rsidDel="00000000" w:rsidR="00000000" w:rsidRPr="00000000">
        <w:rPr>
          <w:b w:val="1"/>
          <w:color w:val="2f2f2f"/>
          <w:sz w:val="24"/>
          <w:szCs w:val="24"/>
          <w:rtl w:val="0"/>
        </w:rPr>
        <w:t xml:space="preserve">Framing:</w:t>
      </w:r>
      <w:r w:rsidDel="00000000" w:rsidR="00000000" w:rsidRPr="00000000">
        <w:rPr>
          <w:color w:val="2f2f2f"/>
          <w:sz w:val="24"/>
          <w:szCs w:val="24"/>
          <w:rtl w:val="0"/>
        </w:rPr>
        <w:t xml:space="preserve"> Students will </w:t>
      </w:r>
      <w:r w:rsidDel="00000000" w:rsidR="00000000" w:rsidRPr="00000000">
        <w:rPr>
          <w:b w:val="1"/>
          <w:color w:val="2f2f2f"/>
          <w:sz w:val="24"/>
          <w:szCs w:val="24"/>
          <w:u w:val="single"/>
          <w:rtl w:val="0"/>
        </w:rPr>
        <w:t xml:space="preserve">explore the issue</w:t>
      </w:r>
      <w:r w:rsidDel="00000000" w:rsidR="00000000" w:rsidRPr="00000000">
        <w:rPr>
          <w:color w:val="2f2f2f"/>
          <w:sz w:val="24"/>
          <w:szCs w:val="24"/>
          <w:rtl w:val="0"/>
        </w:rPr>
        <w:t xml:space="preserve"> through the examination of how </w:t>
      </w:r>
      <w:r w:rsidDel="00000000" w:rsidR="00000000" w:rsidRPr="00000000">
        <w:rPr>
          <w:b w:val="1"/>
          <w:color w:val="2f2f2f"/>
          <w:sz w:val="24"/>
          <w:szCs w:val="24"/>
          <w:u w:val="single"/>
          <w:rtl w:val="0"/>
        </w:rPr>
        <w:t xml:space="preserve">law played a role in social construction of structural inequalities and legitimized power structures in society. Also, how law is used to challenge power relations in society, and address social justice.</w:t>
      </w:r>
    </w:p>
    <w:p w:rsidR="00000000" w:rsidDel="00000000" w:rsidP="00000000" w:rsidRDefault="00000000" w:rsidRPr="00000000" w14:paraId="00000002">
      <w:pPr>
        <w:numPr>
          <w:ilvl w:val="0"/>
          <w:numId w:val="2"/>
        </w:numPr>
        <w:shd w:fill="ffffff" w:val="clear"/>
        <w:spacing w:after="0" w:afterAutospacing="0" w:lineRule="auto"/>
        <w:ind w:left="1100" w:hanging="360"/>
      </w:pPr>
      <w:r w:rsidDel="00000000" w:rsidR="00000000" w:rsidRPr="00000000">
        <w:rPr>
          <w:b w:val="1"/>
          <w:color w:val="2f2f2f"/>
          <w:sz w:val="24"/>
          <w:szCs w:val="24"/>
          <w:u w:val="single"/>
          <w:rtl w:val="0"/>
        </w:rPr>
        <w:t xml:space="preserve">Through an example</w:t>
      </w:r>
      <w:r w:rsidDel="00000000" w:rsidR="00000000" w:rsidRPr="00000000">
        <w:rPr>
          <w:color w:val="2f2f2f"/>
          <w:sz w:val="24"/>
          <w:szCs w:val="24"/>
          <w:rtl w:val="0"/>
        </w:rPr>
        <w:t xml:space="preserve"> that has bearing on questions of gender and sexuality, ethnicity and race such as- unsafe abortion, unpaid labor, domestic violence, employment discrimination, migrant labor, etc- show the underlying disproportionate burden of the policies such as shelter in, curfew etc.</w:t>
      </w:r>
    </w:p>
    <w:p w:rsidR="00000000" w:rsidDel="00000000" w:rsidP="00000000" w:rsidRDefault="00000000" w:rsidRPr="00000000" w14:paraId="00000003">
      <w:pPr>
        <w:numPr>
          <w:ilvl w:val="0"/>
          <w:numId w:val="2"/>
        </w:numPr>
        <w:shd w:fill="ffffff" w:val="clear"/>
        <w:spacing w:after="0" w:afterAutospacing="0" w:lineRule="auto"/>
        <w:ind w:left="1100" w:hanging="360"/>
      </w:pPr>
      <w:r w:rsidDel="00000000" w:rsidR="00000000" w:rsidRPr="00000000">
        <w:rPr>
          <w:color w:val="2f2f2f"/>
          <w:sz w:val="24"/>
          <w:szCs w:val="24"/>
          <w:rtl w:val="0"/>
        </w:rPr>
        <w:t xml:space="preserve">How do the underlying questions of historical and social construct of gender, sexuality, race etc shape the issue.</w:t>
      </w:r>
    </w:p>
    <w:p w:rsidR="00000000" w:rsidDel="00000000" w:rsidP="00000000" w:rsidRDefault="00000000" w:rsidRPr="00000000" w14:paraId="00000004">
      <w:pPr>
        <w:numPr>
          <w:ilvl w:val="1"/>
          <w:numId w:val="2"/>
        </w:numPr>
        <w:spacing w:after="0" w:afterAutospacing="0" w:lineRule="auto"/>
        <w:ind w:left="2200" w:hanging="360"/>
      </w:pPr>
      <w:r w:rsidDel="00000000" w:rsidR="00000000" w:rsidRPr="00000000">
        <w:rPr>
          <w:color w:val="2f2f2f"/>
          <w:sz w:val="24"/>
          <w:szCs w:val="24"/>
          <w:rtl w:val="0"/>
        </w:rPr>
        <w:t xml:space="preserve">How have feminist theory and movement politics (literature, social movement) challenged the western construct of gender and sexuality, and addressed questions of social justice around the world. What are some limitations of feminist movements framing of women’s rights on issues of gender and sexuality.</w:t>
      </w:r>
    </w:p>
    <w:p w:rsidR="00000000" w:rsidDel="00000000" w:rsidP="00000000" w:rsidRDefault="00000000" w:rsidRPr="00000000" w14:paraId="00000005">
      <w:pPr>
        <w:numPr>
          <w:ilvl w:val="1"/>
          <w:numId w:val="2"/>
        </w:numPr>
        <w:spacing w:after="0" w:afterAutospacing="0" w:lineRule="auto"/>
        <w:ind w:left="2200" w:hanging="360"/>
      </w:pPr>
      <w:r w:rsidDel="00000000" w:rsidR="00000000" w:rsidRPr="00000000">
        <w:rPr>
          <w:color w:val="2f2f2f"/>
          <w:sz w:val="24"/>
          <w:szCs w:val="24"/>
          <w:rtl w:val="0"/>
        </w:rPr>
        <w:t xml:space="preserve">How has global migration of people since 1619 shaped race and ethnicity questions in the law. How has TaNehisi Coates in his essay on Reparations addressed issues of structural inequality and power. How would you analyze his perspective for justice.</w:t>
      </w:r>
    </w:p>
    <w:p w:rsidR="00000000" w:rsidDel="00000000" w:rsidP="00000000" w:rsidRDefault="00000000" w:rsidRPr="00000000" w14:paraId="00000006">
      <w:pPr>
        <w:numPr>
          <w:ilvl w:val="1"/>
          <w:numId w:val="2"/>
        </w:numPr>
        <w:spacing w:after="200" w:lineRule="auto"/>
        <w:ind w:left="2200" w:hanging="360"/>
      </w:pPr>
      <w:r w:rsidDel="00000000" w:rsidR="00000000" w:rsidRPr="00000000">
        <w:rPr>
          <w:color w:val="2f2f2f"/>
          <w:sz w:val="24"/>
          <w:szCs w:val="24"/>
          <w:rtl w:val="0"/>
        </w:rPr>
        <w:t xml:space="preserve">How can Intersectionality address questions of gender justice around the world and locally.</w:t>
      </w:r>
    </w:p>
    <w:p w:rsidR="00000000" w:rsidDel="00000000" w:rsidP="00000000" w:rsidRDefault="00000000" w:rsidRPr="00000000" w14:paraId="00000007">
      <w:pPr>
        <w:shd w:fill="ffffff" w:val="clear"/>
        <w:spacing w:after="180" w:before="180" w:lineRule="auto"/>
        <w:rPr>
          <w:b w:val="1"/>
          <w:color w:val="2f2f2f"/>
          <w:sz w:val="24"/>
          <w:szCs w:val="24"/>
          <w:u w:val="single"/>
        </w:rPr>
      </w:pPr>
      <w:r w:rsidDel="00000000" w:rsidR="00000000" w:rsidRPr="00000000">
        <w:rPr>
          <w:b w:val="1"/>
          <w:color w:val="2f2f2f"/>
          <w:sz w:val="24"/>
          <w:szCs w:val="24"/>
          <w:u w:val="single"/>
          <w:rtl w:val="0"/>
        </w:rPr>
        <w:t xml:space="preserve">Must use readings:</w:t>
      </w:r>
    </w:p>
    <w:p w:rsidR="00000000" w:rsidDel="00000000" w:rsidP="00000000" w:rsidRDefault="00000000" w:rsidRPr="00000000" w14:paraId="00000008">
      <w:pPr>
        <w:shd w:fill="ffffff" w:val="clear"/>
        <w:spacing w:after="180" w:before="180" w:lineRule="auto"/>
        <w:rPr>
          <w:b w:val="1"/>
          <w:color w:val="2f2f2f"/>
          <w:sz w:val="24"/>
          <w:szCs w:val="24"/>
        </w:rPr>
      </w:pPr>
      <w:r w:rsidDel="00000000" w:rsidR="00000000" w:rsidRPr="00000000">
        <w:rPr>
          <w:b w:val="1"/>
          <w:color w:val="2f2f2f"/>
          <w:sz w:val="24"/>
          <w:szCs w:val="24"/>
          <w:rtl w:val="0"/>
        </w:rPr>
        <w:t xml:space="preserve">Gender and Sexuality: Judith Lorber: Social Construct of Gender, Kimberley Crenshaw: Intersectionality.</w:t>
      </w:r>
    </w:p>
    <w:p w:rsidR="00000000" w:rsidDel="00000000" w:rsidP="00000000" w:rsidRDefault="00000000" w:rsidRPr="00000000" w14:paraId="00000009">
      <w:pPr>
        <w:shd w:fill="ffffff" w:val="clear"/>
        <w:spacing w:after="180" w:before="180" w:lineRule="auto"/>
        <w:rPr>
          <w:b w:val="1"/>
          <w:color w:val="2f2f2f"/>
          <w:sz w:val="24"/>
          <w:szCs w:val="24"/>
        </w:rPr>
      </w:pPr>
      <w:r w:rsidDel="00000000" w:rsidR="00000000" w:rsidRPr="00000000">
        <w:rPr>
          <w:b w:val="1"/>
          <w:color w:val="2f2f2f"/>
          <w:sz w:val="24"/>
          <w:szCs w:val="24"/>
          <w:rtl w:val="0"/>
        </w:rPr>
        <w:t xml:space="preserve">Ta Nehisi Coates, Kimberley Crenshaw: Intersectionality. Michael Omi and Howard Winant. “Racial Formations”, 1619 Times project.</w:t>
      </w:r>
    </w:p>
    <w:p w:rsidR="00000000" w:rsidDel="00000000" w:rsidP="00000000" w:rsidRDefault="00000000" w:rsidRPr="00000000" w14:paraId="0000000A">
      <w:pPr>
        <w:shd w:fill="ffffff" w:val="clear"/>
        <w:spacing w:after="180" w:before="180" w:lineRule="auto"/>
        <w:rPr>
          <w:b w:val="1"/>
          <w:color w:val="2f2f2f"/>
          <w:sz w:val="24"/>
          <w:szCs w:val="24"/>
        </w:rPr>
      </w:pPr>
      <w:r w:rsidDel="00000000" w:rsidR="00000000" w:rsidRPr="00000000">
        <w:rPr>
          <w:b w:val="1"/>
          <w:color w:val="2f2f2f"/>
          <w:sz w:val="24"/>
          <w:szCs w:val="24"/>
          <w:rtl w:val="0"/>
        </w:rPr>
        <w:t xml:space="preserve">Minimum outside scholarly reading: 2. If you are working on an issue relating to sexuality and LGBTQ rights, will highly recommend the works of Judith Butler and transactivist A. Revathi</w:t>
      </w:r>
    </w:p>
    <w:p w:rsidR="00000000" w:rsidDel="00000000" w:rsidP="00000000" w:rsidRDefault="00000000" w:rsidRPr="00000000" w14:paraId="0000000B">
      <w:pPr>
        <w:shd w:fill="ffffff" w:val="clear"/>
        <w:spacing w:after="180" w:before="180" w:lineRule="auto"/>
        <w:rPr>
          <w:b w:val="1"/>
          <w:color w:val="2f2f2f"/>
          <w:sz w:val="24"/>
          <w:szCs w:val="24"/>
        </w:rPr>
      </w:pPr>
      <w:r w:rsidDel="00000000" w:rsidR="00000000" w:rsidRPr="00000000">
        <w:rPr>
          <w:b w:val="1"/>
          <w:color w:val="2f2f2f"/>
          <w:sz w:val="24"/>
          <w:szCs w:val="24"/>
          <w:rtl w:val="0"/>
        </w:rPr>
        <w:t xml:space="preserve">Minimum news (NYT, Washington Post, The Atlantic, Time magazine) based reading: 3</w:t>
      </w:r>
    </w:p>
    <w:p w:rsidR="00000000" w:rsidDel="00000000" w:rsidP="00000000" w:rsidRDefault="00000000" w:rsidRPr="00000000" w14:paraId="0000000C">
      <w:pPr>
        <w:shd w:fill="ffffff" w:val="clear"/>
        <w:spacing w:after="180" w:before="180" w:lineRule="auto"/>
        <w:rPr>
          <w:b w:val="1"/>
          <w:color w:val="2f2f2f"/>
          <w:sz w:val="24"/>
          <w:szCs w:val="24"/>
        </w:rPr>
      </w:pPr>
      <w:r w:rsidDel="00000000" w:rsidR="00000000" w:rsidRPr="00000000">
        <w:rPr>
          <w:b w:val="1"/>
          <w:color w:val="2f2f2f"/>
          <w:sz w:val="24"/>
          <w:szCs w:val="24"/>
          <w:u w:val="single"/>
          <w:rtl w:val="0"/>
        </w:rPr>
        <w:t xml:space="preserve">Paper Format and essential requirements</w:t>
      </w:r>
      <w:r w:rsidDel="00000000" w:rsidR="00000000" w:rsidRPr="00000000">
        <w:rPr>
          <w:b w:val="1"/>
          <w:color w:val="2f2f2f"/>
          <w:sz w:val="24"/>
          <w:szCs w:val="24"/>
          <w:rtl w:val="0"/>
        </w:rPr>
        <w:t xml:space="preserve">:</w:t>
      </w:r>
    </w:p>
    <w:p w:rsidR="00000000" w:rsidDel="00000000" w:rsidP="00000000" w:rsidRDefault="00000000" w:rsidRPr="00000000" w14:paraId="0000000D">
      <w:pPr>
        <w:shd w:fill="ffffff" w:val="clear"/>
        <w:spacing w:after="180" w:before="180" w:lineRule="auto"/>
        <w:rPr>
          <w:color w:val="2f2f2f"/>
          <w:sz w:val="24"/>
          <w:szCs w:val="24"/>
        </w:rPr>
      </w:pPr>
      <w:r w:rsidDel="00000000" w:rsidR="00000000" w:rsidRPr="00000000">
        <w:rPr>
          <w:color w:val="2f2f2f"/>
          <w:sz w:val="24"/>
          <w:szCs w:val="24"/>
          <w:rtl w:val="0"/>
        </w:rPr>
        <w:t xml:space="preserve">In writing papers, you are expected to follow all rules of standard English and to produce a product of which a college graduate would be proud.</w:t>
      </w:r>
    </w:p>
    <w:p w:rsidR="00000000" w:rsidDel="00000000" w:rsidP="00000000" w:rsidRDefault="00000000" w:rsidRPr="00000000" w14:paraId="0000000E">
      <w:pPr>
        <w:shd w:fill="ffffff" w:val="clear"/>
        <w:spacing w:after="180" w:before="180" w:lineRule="auto"/>
        <w:rPr>
          <w:color w:val="2f2f2f"/>
          <w:sz w:val="24"/>
          <w:szCs w:val="24"/>
        </w:rPr>
      </w:pPr>
      <w:r w:rsidDel="00000000" w:rsidR="00000000" w:rsidRPr="00000000">
        <w:rPr>
          <w:color w:val="2f2f2f"/>
          <w:sz w:val="24"/>
          <w:szCs w:val="24"/>
          <w:rtl w:val="0"/>
        </w:rPr>
        <w:t xml:space="preserve">This is a 8-10 page reflection paper, which should be formatted professionally for a college level audience. Hence, all papers should be typed in Times New Roman, regular 1-inch margin, and double-spaced. All papers will be submitted online via moodle. Paginate your paper and include a word count.</w:t>
      </w:r>
    </w:p>
    <w:p w:rsidR="00000000" w:rsidDel="00000000" w:rsidP="00000000" w:rsidRDefault="00000000" w:rsidRPr="00000000" w14:paraId="0000000F">
      <w:pPr>
        <w:shd w:fill="ffffff" w:val="clear"/>
        <w:spacing w:after="180" w:before="180" w:lineRule="auto"/>
        <w:rPr>
          <w:b w:val="1"/>
          <w:color w:val="2f2f2f"/>
          <w:sz w:val="24"/>
          <w:szCs w:val="24"/>
          <w:u w:val="single"/>
        </w:rPr>
      </w:pPr>
      <w:r w:rsidDel="00000000" w:rsidR="00000000" w:rsidRPr="00000000">
        <w:rPr>
          <w:b w:val="1"/>
          <w:color w:val="2f2f2f"/>
          <w:sz w:val="24"/>
          <w:szCs w:val="24"/>
          <w:u w:val="single"/>
          <w:rtl w:val="0"/>
        </w:rPr>
        <w:t xml:space="preserve">Paper should be organized well- should include a title, introductory para which includes the core question and argument of the paper, body paragraphs showing the development of the arguments, key structures organized, and conclusion. Papers should include references.</w:t>
      </w:r>
    </w:p>
    <w:p w:rsidR="00000000" w:rsidDel="00000000" w:rsidP="00000000" w:rsidRDefault="00000000" w:rsidRPr="00000000" w14:paraId="00000010">
      <w:pPr>
        <w:shd w:fill="ffffff" w:val="clear"/>
        <w:spacing w:after="180" w:before="180" w:lineRule="auto"/>
        <w:rPr>
          <w:color w:val="2f2f2f"/>
          <w:sz w:val="24"/>
          <w:szCs w:val="24"/>
        </w:rPr>
      </w:pPr>
      <w:r w:rsidDel="00000000" w:rsidR="00000000" w:rsidRPr="00000000">
        <w:rPr>
          <w:color w:val="2f2f2f"/>
          <w:sz w:val="24"/>
          <w:szCs w:val="24"/>
          <w:rtl w:val="0"/>
        </w:rPr>
        <w:t xml:space="preserve">The research paper must cite all sources, including sources from which you derive ideas, information or analyze, and not simply sources you quote or paraphrase. </w:t>
      </w:r>
      <w:r w:rsidDel="00000000" w:rsidR="00000000" w:rsidRPr="00000000">
        <w:rPr>
          <w:b w:val="1"/>
          <w:color w:val="2f2f2f"/>
          <w:sz w:val="24"/>
          <w:szCs w:val="24"/>
          <w:u w:val="single"/>
          <w:rtl w:val="0"/>
        </w:rPr>
        <w:t xml:space="preserve">Points will be deducted for missing in-text citations and references</w:t>
      </w:r>
      <w:r w:rsidDel="00000000" w:rsidR="00000000" w:rsidRPr="00000000">
        <w:rPr>
          <w:color w:val="2f2f2f"/>
          <w:sz w:val="24"/>
          <w:szCs w:val="24"/>
          <w:rtl w:val="0"/>
        </w:rPr>
        <w:t xml:space="preserve">. Please follow either MLA, APA, or Chicago Style. Be consistent.</w:t>
      </w:r>
    </w:p>
    <w:p w:rsidR="00000000" w:rsidDel="00000000" w:rsidP="00000000" w:rsidRDefault="00000000" w:rsidRPr="00000000" w14:paraId="00000011">
      <w:pPr>
        <w:shd w:fill="ffffff" w:val="clear"/>
        <w:spacing w:after="180" w:before="180" w:lineRule="auto"/>
        <w:rPr>
          <w:color w:val="2f2f2f"/>
          <w:sz w:val="24"/>
          <w:szCs w:val="24"/>
        </w:rPr>
      </w:pPr>
      <w:r w:rsidDel="00000000" w:rsidR="00000000" w:rsidRPr="00000000">
        <w:rPr>
          <w:color w:val="2f2f2f"/>
          <w:sz w:val="24"/>
          <w:szCs w:val="24"/>
          <w:rtl w:val="0"/>
        </w:rPr>
        <w:t xml:space="preserve">Plagiarized papers will receive an F grade for the course.</w:t>
      </w:r>
    </w:p>
    <w:p w:rsidR="00000000" w:rsidDel="00000000" w:rsidP="00000000" w:rsidRDefault="00000000" w:rsidRPr="00000000" w14:paraId="00000012">
      <w:pPr>
        <w:shd w:fill="ffffff" w:val="clear"/>
        <w:spacing w:after="180" w:before="180" w:lineRule="auto"/>
        <w:rPr>
          <w:color w:val="1155cc"/>
          <w:sz w:val="24"/>
          <w:szCs w:val="24"/>
          <w:u w:val="single"/>
        </w:rPr>
      </w:pPr>
      <w:r w:rsidDel="00000000" w:rsidR="00000000" w:rsidRPr="00000000">
        <w:rPr>
          <w:b w:val="1"/>
          <w:color w:val="2f2f2f"/>
          <w:sz w:val="24"/>
          <w:szCs w:val="24"/>
          <w:rtl w:val="0"/>
        </w:rPr>
        <w:t xml:space="preserve">Writing Strategies:</w:t>
      </w:r>
      <w:r w:rsidDel="00000000" w:rsidR="00000000" w:rsidRPr="00000000">
        <w:rPr>
          <w:color w:val="2f2f2f"/>
          <w:sz w:val="24"/>
          <w:szCs w:val="24"/>
          <w:rtl w:val="0"/>
        </w:rPr>
        <w:t xml:space="preserve"> (adapted from </w:t>
      </w:r>
      <w:r w:rsidDel="00000000" w:rsidR="00000000" w:rsidRPr="00000000">
        <w:fldChar w:fldCharType="begin"/>
        <w:instrText xml:space="preserve"> HYPERLINK "http://www.stanford.edu/~armin/courses.guidelines.html" </w:instrText>
        <w:fldChar w:fldCharType="separate"/>
      </w:r>
      <w:r w:rsidDel="00000000" w:rsidR="00000000" w:rsidRPr="00000000">
        <w:rPr>
          <w:color w:val="1155cc"/>
          <w:sz w:val="24"/>
          <w:szCs w:val="24"/>
          <w:u w:val="single"/>
          <w:rtl w:val="0"/>
        </w:rPr>
        <w:t xml:space="preserve">http://www.stanford.edu/~armin/courses.guidelines.html</w:t>
      </w:r>
    </w:p>
    <w:p w:rsidR="00000000" w:rsidDel="00000000" w:rsidP="00000000" w:rsidRDefault="00000000" w:rsidRPr="00000000" w14:paraId="00000013">
      <w:pPr>
        <w:shd w:fill="ffffff" w:val="clear"/>
        <w:spacing w:after="160" w:before="160" w:lineRule="auto"/>
        <w:ind w:left="-20" w:right="-20" w:firstLine="0"/>
        <w:rPr>
          <w:color w:val="1155cc"/>
          <w:sz w:val="24"/>
          <w:szCs w:val="24"/>
          <w:u w:val="single"/>
        </w:rPr>
      </w:pPr>
      <w:r w:rsidDel="00000000" w:rsidR="00000000" w:rsidRPr="00000000">
        <w:rPr>
          <w:color w:val="1155cc"/>
          <w:sz w:val="24"/>
          <w:szCs w:val="24"/>
          <w:u w:val="single"/>
          <w:rtl w:val="0"/>
        </w:rPr>
        <w:t xml:space="preserve"> (Links to an external site.)</w:t>
      </w:r>
    </w:p>
    <w:p w:rsidR="00000000" w:rsidDel="00000000" w:rsidP="00000000" w:rsidRDefault="00000000" w:rsidRPr="00000000" w14:paraId="00000014">
      <w:pPr>
        <w:shd w:fill="ffffff" w:val="clear"/>
        <w:spacing w:after="180" w:before="180" w:lineRule="auto"/>
        <w:rPr>
          <w:color w:val="2f2f2f"/>
          <w:sz w:val="24"/>
          <w:szCs w:val="24"/>
        </w:rPr>
      </w:pPr>
      <w:r w:rsidDel="00000000" w:rsidR="00000000" w:rsidRPr="00000000">
        <w:fldChar w:fldCharType="end"/>
      </w:r>
      <w:r w:rsidDel="00000000" w:rsidR="00000000" w:rsidRPr="00000000">
        <w:rPr>
          <w:color w:val="2f2f2f"/>
          <w:sz w:val="24"/>
          <w:szCs w:val="24"/>
          <w:rtl w:val="0"/>
        </w:rPr>
        <w:t xml:space="preserve"> )</w:t>
      </w:r>
    </w:p>
    <w:p w:rsidR="00000000" w:rsidDel="00000000" w:rsidP="00000000" w:rsidRDefault="00000000" w:rsidRPr="00000000" w14:paraId="00000015">
      <w:pPr>
        <w:shd w:fill="ffffff" w:val="clear"/>
        <w:spacing w:after="180" w:before="180" w:lineRule="auto"/>
        <w:rPr>
          <w:color w:val="2f2f2f"/>
          <w:sz w:val="24"/>
          <w:szCs w:val="24"/>
        </w:rPr>
      </w:pPr>
      <w:r w:rsidDel="00000000" w:rsidR="00000000" w:rsidRPr="00000000">
        <w:rPr>
          <w:b w:val="1"/>
          <w:color w:val="2f2f2f"/>
          <w:sz w:val="24"/>
          <w:szCs w:val="24"/>
          <w:rtl w:val="0"/>
        </w:rPr>
        <w:t xml:space="preserve">Do’s and Don’t’s</w:t>
      </w:r>
      <w:r w:rsidDel="00000000" w:rsidR="00000000" w:rsidRPr="00000000">
        <w:rPr>
          <w:color w:val="2f2f2f"/>
          <w:sz w:val="24"/>
          <w:szCs w:val="24"/>
          <w:rtl w:val="0"/>
        </w:rPr>
        <w:t xml:space="preserve">:                       </w:t>
      </w:r>
    </w:p>
    <w:p w:rsidR="00000000" w:rsidDel="00000000" w:rsidP="00000000" w:rsidRDefault="00000000" w:rsidRPr="00000000" w14:paraId="00000016">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The first page of the paper must include title of the paper.</w:t>
      </w:r>
    </w:p>
    <w:p w:rsidR="00000000" w:rsidDel="00000000" w:rsidP="00000000" w:rsidRDefault="00000000" w:rsidRPr="00000000" w14:paraId="00000017">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Generally, try to avoid using quotations.  Quotations interrupt the flow, and often you can say it better in your own words. Use quotations only when it is a supportive evidence to your argument.</w:t>
      </w:r>
    </w:p>
    <w:p w:rsidR="00000000" w:rsidDel="00000000" w:rsidP="00000000" w:rsidRDefault="00000000" w:rsidRPr="00000000" w14:paraId="00000018">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Please do not provide dictionary definitions. Definitions are used only in places to prove a lacunae in the knowledge that we have created, or a cultural shift in use of a word etc. Just defining a term for no argumentative purpose just weakens your paper and is a filler.</w:t>
      </w:r>
    </w:p>
    <w:p w:rsidR="00000000" w:rsidDel="00000000" w:rsidP="00000000" w:rsidRDefault="00000000" w:rsidRPr="00000000" w14:paraId="00000019">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Avoid excess verbiage.  Generally, use short words, short sentences and short paragraphs. </w:t>
      </w:r>
    </w:p>
    <w:p w:rsidR="00000000" w:rsidDel="00000000" w:rsidP="00000000" w:rsidRDefault="00000000" w:rsidRPr="00000000" w14:paraId="0000001A">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Spare the reader high-flown rhetoric, windy generalizations, lame clichés, and uncritical thought.</w:t>
      </w:r>
    </w:p>
    <w:p w:rsidR="00000000" w:rsidDel="00000000" w:rsidP="00000000" w:rsidRDefault="00000000" w:rsidRPr="00000000" w14:paraId="0000001B">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Stay away from wordy phrases like "The thesis here is that," "The point I’m trying to make is," "In conclusion," and "At this point in time."</w:t>
      </w:r>
    </w:p>
    <w:p w:rsidR="00000000" w:rsidDel="00000000" w:rsidP="00000000" w:rsidRDefault="00000000" w:rsidRPr="00000000" w14:paraId="0000001C">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Use "to" rather than "in order to."</w:t>
      </w:r>
    </w:p>
    <w:p w:rsidR="00000000" w:rsidDel="00000000" w:rsidP="00000000" w:rsidRDefault="00000000" w:rsidRPr="00000000" w14:paraId="0000001D">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Spelling and usage: Almost every "which" can be changed to "that" and about half of the "that’s" can be eliminated.</w:t>
      </w:r>
    </w:p>
    <w:p w:rsidR="00000000" w:rsidDel="00000000" w:rsidP="00000000" w:rsidRDefault="00000000" w:rsidRPr="00000000" w14:paraId="0000001E">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Be careful not to overuse the words clearly obviously, or plainly.</w:t>
      </w:r>
    </w:p>
    <w:p w:rsidR="00000000" w:rsidDel="00000000" w:rsidP="00000000" w:rsidRDefault="00000000" w:rsidRPr="00000000" w14:paraId="0000001F">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Always use the active voice.  "Nancy led the discussion" is strong.  "The</w:t>
        <w:br w:type="textWrapping"/>
        <w:t xml:space="preserve">discussion was led by Nancy" is weak.</w:t>
      </w:r>
    </w:p>
    <w:p w:rsidR="00000000" w:rsidDel="00000000" w:rsidP="00000000" w:rsidRDefault="00000000" w:rsidRPr="00000000" w14:paraId="00000020">
      <w:pPr>
        <w:numPr>
          <w:ilvl w:val="0"/>
          <w:numId w:val="1"/>
        </w:numPr>
        <w:shd w:fill="ffffff" w:val="clear"/>
        <w:spacing w:after="0" w:afterAutospacing="0" w:lineRule="auto"/>
        <w:ind w:left="1100" w:hanging="360"/>
      </w:pPr>
      <w:r w:rsidDel="00000000" w:rsidR="00000000" w:rsidRPr="00000000">
        <w:rPr>
          <w:color w:val="2f2f2f"/>
          <w:sz w:val="24"/>
          <w:szCs w:val="24"/>
          <w:rtl w:val="0"/>
        </w:rPr>
        <w:t xml:space="preserve">Do not say "This paper will explore…"  The paper is not a person. Say, "In</w:t>
        <w:br w:type="textWrapping"/>
        <w:t xml:space="preserve">this paper, I will explore…"</w:t>
      </w:r>
    </w:p>
    <w:p w:rsidR="00000000" w:rsidDel="00000000" w:rsidP="00000000" w:rsidRDefault="00000000" w:rsidRPr="00000000" w14:paraId="00000021">
      <w:pPr>
        <w:numPr>
          <w:ilvl w:val="0"/>
          <w:numId w:val="1"/>
        </w:numPr>
        <w:shd w:fill="ffffff" w:val="clear"/>
        <w:spacing w:after="200" w:lineRule="auto"/>
        <w:ind w:left="1100" w:hanging="360"/>
      </w:pPr>
      <w:r w:rsidDel="00000000" w:rsidR="00000000" w:rsidRPr="00000000">
        <w:rPr>
          <w:color w:val="2f2f2f"/>
          <w:sz w:val="24"/>
          <w:szCs w:val="24"/>
          <w:rtl w:val="0"/>
        </w:rPr>
        <w:t xml:space="preserve">Do not include journal or book or website name in the paper.</w:t>
      </w:r>
    </w:p>
    <w:p w:rsidR="00000000" w:rsidDel="00000000" w:rsidP="00000000" w:rsidRDefault="00000000" w:rsidRPr="00000000" w14:paraId="0000002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f2f2f"/>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2f2f2f"/>
        <w:sz w:val="24"/>
        <w:szCs w:val="24"/>
        <w:u w:val="none"/>
      </w:rPr>
    </w:lvl>
    <w:lvl w:ilvl="1">
      <w:start w:val="1"/>
      <w:numFmt w:val="bullet"/>
      <w:lvlText w:val="○"/>
      <w:lvlJc w:val="left"/>
      <w:pPr>
        <w:ind w:left="1440" w:hanging="360"/>
      </w:pPr>
      <w:rPr>
        <w:rFonts w:ascii="Arial" w:cs="Arial" w:eastAsia="Arial" w:hAnsi="Arial"/>
        <w:color w:val="2f2f2f"/>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